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5901B0" w:rsidRPr="002F40EA" w:rsidP="005901B0">
      <w:pPr>
        <w:ind w:left="540" w:right="419"/>
        <w:rPr>
          <w:b/>
          <w:color w:val="AF272F"/>
          <w:sz w:val="36"/>
          <w:szCs w:val="44"/>
          <w:lang w:val="en-AU"/>
        </w:rPr>
      </w:pPr>
      <w:r w:rsidRPr="002F40EA">
        <w:rPr>
          <w:b/>
          <w:color w:val="AF272F"/>
          <w:sz w:val="36"/>
          <w:szCs w:val="44"/>
          <w:lang w:val="en-AU"/>
        </w:rPr>
        <w:t xml:space="preserve">Annual Implementation Plan - </w:t>
      </w:r>
      <w:r w:rsidRPr="002F40EA">
        <w:rPr>
          <w:b/>
          <w:noProof/>
          <w:color w:val="AF272F"/>
          <w:sz w:val="36"/>
          <w:szCs w:val="36"/>
          <w:lang w:val="en-AU"/>
        </w:rPr>
        <w:t>2026</w:t>
      </w:r>
    </w:p>
    <w:p w:rsidR="00843995" w:rsidRPr="002F40EA" w:rsidP="00696980">
      <w:pPr>
        <w:pStyle w:val="ESIntroParagraph"/>
        <w:ind w:left="-567" w:right="1247" w:firstLine="1107"/>
        <w:rPr>
          <w:color w:val="595959" w:themeColor="text1" w:themeTint="A6"/>
          <w:lang w:val="en-AU"/>
        </w:rPr>
      </w:pPr>
      <w:r w:rsidRPr="002F40EA">
        <w:rPr>
          <w:noProof/>
          <w:color w:val="595959" w:themeColor="text1" w:themeTint="A6"/>
          <w:lang w:val="en-AU"/>
        </w:rPr>
        <w:t>Glen Iris Primary School (1148)</w:t>
      </w:r>
    </w:p>
    <w:p w:rsidR="00843995" w:rsidRPr="002F40EA" w:rsidP="00AF3BC2">
      <w:pPr>
        <w:pStyle w:val="ESIntroParagraph"/>
        <w:ind w:left="-562" w:right="4334"/>
        <w:rPr>
          <w:lang w:val="en-AU"/>
        </w:rPr>
      </w:pPr>
    </w:p>
    <w:p w:rsidR="00843995" w:rsidRPr="002F40EA" w:rsidP="00D84C0F">
      <w:pPr>
        <w:pStyle w:val="Heading1"/>
        <w:ind w:left="-567"/>
        <w:rPr>
          <w:lang w:val="en-AU"/>
        </w:rPr>
      </w:pPr>
    </w:p>
    <w:p w:rsidR="000B4FFD" w:rsidRPr="002F40EA" w:rsidP="00CB0768">
      <w:pPr>
        <w:pStyle w:val="ESHeading2"/>
        <w:jc w:val="center"/>
        <w:rPr>
          <w:b w:val="0"/>
          <w:sz w:val="44"/>
          <w:szCs w:val="44"/>
          <w:lang w:val="en-AU"/>
        </w:rPr>
      </w:pPr>
    </w:p>
    <w:p w:rsidR="00EC5878" w:rsidRPr="002F40EA" w:rsidP="00CB0768">
      <w:pPr>
        <w:pStyle w:val="ESHeading2"/>
        <w:jc w:val="center"/>
        <w:rPr>
          <w:b w:val="0"/>
          <w:sz w:val="44"/>
          <w:szCs w:val="44"/>
          <w:lang w:val="en-AU"/>
        </w:rPr>
      </w:pPr>
    </w:p>
    <w:p w:rsidR="00BA5195" w:rsidRPr="002F40EA" w:rsidP="00CB0768">
      <w:pPr>
        <w:pStyle w:val="ESHeading2"/>
        <w:jc w:val="center"/>
        <w:rPr>
          <w:lang w:val="en-AU"/>
        </w:rPr>
      </w:pPr>
      <w:r w:rsidRPr="002F40EA">
        <w:rPr>
          <w:b w:val="0"/>
          <w:noProof/>
          <w:sz w:val="44"/>
          <w:szCs w:val="44"/>
          <w:lang w:val="en-AU"/>
        </w:rPr>
        <w:drawing>
          <wp:anchor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3248478"/>
            <wp:wrapNone/>
            <wp:docPr id="10001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768" w:rsidRPr="002F40EA" w:rsidP="00A5212F">
      <w:pPr>
        <w:pStyle w:val="ESBodyText"/>
        <w:rPr>
          <w:lang w:val="en-AU"/>
        </w:rPr>
        <w:sectPr w:rsidSect="00E362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005" w:right="737" w:bottom="1304" w:left="562" w:header="624" w:footer="1134" w:gutter="0"/>
          <w:cols w:space="397"/>
          <w:docGrid w:linePitch="360"/>
        </w:sectPr>
      </w:pPr>
      <w:r w:rsidRPr="002F40EA">
        <w:rPr>
          <w:rFonts w:ascii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>
                <wp:simplePos x="0" y="0"/>
                <wp:positionH relativeFrom="margin">
                  <wp:posOffset>100330</wp:posOffset>
                </wp:positionH>
                <wp:positionV relativeFrom="bottomMargin">
                  <wp:posOffset>-1260475</wp:posOffset>
                </wp:positionV>
                <wp:extent cx="9773920" cy="1134110"/>
                <wp:effectExtent l="0" t="0" r="0" b="889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12F" w:rsidP="00A5212F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Madeleine Tippens (School Principal) on 14 January, 2026 at 12:46 PM</w:t>
                              <w:br/>
                              <w:t>Endorsed by Andrew Moore (Senior Education Improvement Leader) on 28 January, 2026 at 11:08 AM</w:t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89.3pt;margin-left:7.9pt;margin-top:-99.25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769.6pt;z-index:-251657216" fillcolor="white" stroked="f" strokeweight="0.75pt">
                <v:stroke joinstyle="miter"/>
                <v:textbox>
                  <w:txbxContent>
                    <w:p w:rsidR="00A5212F" w:rsidP="00A5212F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Madeleine Tippens (School Principal) on 14 January, 2026 at 12:46 PM</w:t>
                        <w:br/>
                        <w:t>Endorsed by Andrew Moore (Senior Education Improvement Leader) on 28 January, 2026 at 11:08 AM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6307C3" w:rsidRPr="002F40EA" w:rsidP="006C7A56">
      <w:pPr>
        <w:ind w:right="-542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t xml:space="preserve">Define </w:t>
      </w:r>
      <w:r w:rsidR="00F0634E">
        <w:rPr>
          <w:b/>
          <w:color w:val="AF272F"/>
          <w:sz w:val="32"/>
          <w:szCs w:val="32"/>
        </w:rPr>
        <w:t>a</w:t>
      </w:r>
      <w:r w:rsidRPr="00700D80" w:rsidR="00F0634E">
        <w:rPr>
          <w:b/>
          <w:color w:val="AF272F"/>
          <w:sz w:val="32"/>
          <w:szCs w:val="32"/>
        </w:rPr>
        <w:t>ctions, evidence of change and tasks</w:t>
      </w:r>
    </w:p>
    <w:p w:rsidR="005539D1" w:rsidRPr="002F40EA" w:rsidP="00C259B6">
      <w:pPr>
        <w:pStyle w:val="ESIntroParagraph"/>
        <w:ind w:left="-567" w:right="4330" w:firstLine="567"/>
        <w:rPr>
          <w:color w:val="AF272F"/>
          <w:sz w:val="20"/>
          <w:szCs w:val="20"/>
          <w:lang w:val="en-AU"/>
        </w:rPr>
      </w:pPr>
    </w:p>
    <w:tbl>
      <w:tblPr>
        <w:tblStyle w:val="TableGrid"/>
        <w:tblW w:w="15021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6799"/>
        <w:gridCol w:w="5103"/>
      </w:tblGrid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ascii="Arial" w:eastAsia="Arial" w:hAnsi="Arial" w:cs="Arial"/>
                <w:b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02" w:type="dxa"/>
            <w:gridSpan w:val="2"/>
            <w:shd w:val="clear" w:color="auto" w:fill="D9D9D9" w:themeFill="background1" w:themeFillShade="D9"/>
          </w:tcPr>
          <w:p w:rsidR="00973DEE" w:rsidRPr="0033147D" w:rsidP="00FE3D5C">
            <w:pPr>
              <w:pStyle w:val="ESBodyText"/>
              <w:spacing w:after="0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33147D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Optimise the learning growth and outcomes for every student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C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ascii="Arial" w:eastAsia="Arial" w:hAnsi="Arial" w:cs="Arial"/>
                <w:sz w:val="22"/>
                <w:szCs w:val="24"/>
                <w:lang w:val="en-AU"/>
              </w:rPr>
              <w:t>KIS 1.a</w:t>
            </w:r>
          </w:p>
        </w:tc>
        <w:tc>
          <w:tcPr>
            <w:tcW w:w="11902" w:type="dxa"/>
            <w:gridSpan w:val="2"/>
            <w:shd w:val="clear" w:color="auto" w:fill="58BFBC"/>
            <w:noWrap w:val="0"/>
          </w:tcPr>
          <w:p w:rsidR="00973DEE" w:rsidRPr="0033147D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and adapt the instructional model to reflect the VLTM 2.0</w:t>
              <w:br/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  <w:noWrap w:val="0"/>
          </w:tcPr>
          <w:p w:rsidR="003E1FC6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staff knowledge and capacity to deliver the VTLM 2.0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73784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  <w:noWrap w:val="0"/>
          </w:tcPr>
          <w:p w:rsidR="00737849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Staff increasingly use pedagogical approaches across classrooms, resulting in greater consistency in teaching and learning.</w:t>
              <w:br/>
              <w:t>Staff demonstrate deeper understanding of VTLM 2.0 components through planning, assessment, and professional dialogue.</w:t>
              <w:br/>
              <w:t>Teams regularly analyse student learning data and apply VTLM 2.0 strategies to differentiate and support student progress.</w:t>
              <w:br/>
              <w:t>Students and staff use a common learning language around learning intentions and success criteria aligned to VTLM 2.0, improving clarity and student ownership of learning.</w:t>
              <w:br/>
              <w:t>Progressive improvements in academic growth and engagement measures are evident in school data sources, reflecting the impact of strengthened instructional practices.</w:t>
              <w:br/>
              <w:t xml:space="preserve">Build teacher understanding of how data informs Multi System Tiers of Support </w:t>
              <w:br/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on the VTLM 2.0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staff capacity in creating clear learning objectives that break up intended learning and sequence it to build in complexity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staff capacity in activating prior knowledge and review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Build teacher understanding of how data informs Multi System Tiers of Support </w:t>
              <w:br/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Use designated meeting time to enable collaborative development and review of curriculum documents (e.g. PLCs and teaching team meetings)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Teacher(s)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C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ascii="Arial" w:eastAsia="Arial" w:hAnsi="Arial" w:cs="Arial"/>
                <w:sz w:val="22"/>
                <w:szCs w:val="24"/>
                <w:lang w:val="en-AU"/>
              </w:rPr>
              <w:t>KIS 1.b</w:t>
            </w:r>
          </w:p>
        </w:tc>
        <w:tc>
          <w:tcPr>
            <w:tcW w:w="11902" w:type="dxa"/>
            <w:gridSpan w:val="2"/>
            <w:shd w:val="clear" w:color="auto" w:fill="58BFBC"/>
            <w:noWrap w:val="0"/>
          </w:tcPr>
          <w:p w:rsidR="00973DEE" w:rsidRPr="0033147D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a common approach to whole school curriculum planning, documentation and collaborative practice across the school.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  <w:noWrap w:val="0"/>
          </w:tcPr>
          <w:p w:rsidR="003E1FC6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a common approach to whole school curriculum planning and documentation in mathematics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73784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  <w:noWrap w:val="0"/>
          </w:tcPr>
          <w:p w:rsidR="00737849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 whole-school mathematics curriculum map is implemented, with aligned scope and sequence and planning templates used consistently across all teams.</w:t>
              <w:br/>
              <w:t>Clear vertical alignment ensures continuity of concepts, reducing unnecessary repetition and supporting progressive development of mathematical understanding.</w:t>
              <w:br/>
              <w:t>PLCs engage in regular collaborative planning, moderation, and review of curriculum documentation in mathematics, leading to stronger collective efficacy.</w:t>
              <w:br/>
              <w:t>Planning reflects targeted adjustments for diverse learners, including clear strategies for extension and support based on assessment evidence.</w:t>
              <w:br/>
              <w:t>A whole school documented approach to team collaborative planning meeting agendas is developed.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Staff will collaboratively build unit planner template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Learning leaders will build staff capacity in how to plan clear learning intentions that break up intended learning and sequence to build in complexity. 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Learning leaders will review unit planner templates for alignment to whole school approach and and mathematics scope and sequence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Learning leaders will build teacher capacity in how to identify key content to be consolidated through retrieval practice using retrieval resources to build mastery in Mathematics. 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The leadership team will refine an approach to team meeting agendas to improve consistency. 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principal will implement a regularly scheduled team leader meeting to facilitate professional learning, consistency, and collaboration.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teaching staff will adapt the GIPS instructional model to include retrieval practices.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7B5E8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ascii="Arial" w:eastAsia="Arial" w:hAnsi="Arial" w:cs="Arial"/>
                <w:sz w:val="22"/>
                <w:szCs w:val="24"/>
                <w:lang w:val="en-AU"/>
              </w:rPr>
              <w:t>KIS 1.c</w:t>
            </w:r>
          </w:p>
        </w:tc>
        <w:tc>
          <w:tcPr>
            <w:tcW w:w="11902" w:type="dxa"/>
            <w:gridSpan w:val="2"/>
            <w:shd w:val="clear" w:color="auto" w:fill="57B5E8"/>
            <w:noWrap w:val="0"/>
          </w:tcPr>
          <w:p w:rsidR="00973DEE" w:rsidRPr="0033147D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Build staff data literacy to provide a consistent approach to assessment that provides responsive teaching strategies for all students. 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  <w:noWrap w:val="0"/>
          </w:tcPr>
          <w:p w:rsidR="003E1FC6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school-wide responsive teaching routines such as frequent formative assessment, checks for understanding, and targeted feedback to ensure teaching is continually adjusted to student learning needs.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73784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  <w:noWrap w:val="0"/>
          </w:tcPr>
          <w:p w:rsidR="00737849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Teachers are seen using formative assessment strategies, adjusting lessons in real time, and differentiating learning to meet student needs.</w:t>
              <w:br/>
              <w:t>Improvement in formative and summative assessment results, showing targeted learning progress and reduced gaps.</w:t>
              <w:br/>
              <w:t>Minutes or notes from planning meetings and PLCs showing analysis of student work, discussion of learning needs, and adjustments to teaching strategies.</w:t>
              <w:br/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leadership team will build staff capacity in how to plan for CFUs that check for understanding of the learning intention throughout the lesson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school staff will engage in network professional learning with Bronwyn Rirey Jones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The school improvement leadership team will evaluate whether the GIPS instructional model needs further specificity regarding CFUs and/or responsive teaching. 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Staff will undertake assessments for all students, including diagnostic and mandatory assessments, to enact the school's Multi-Tiered Systems of Support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  <w:noWrap w:val="0"/>
          </w:tcPr>
          <w:p w:rsidR="00973DE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ascii="Arial" w:eastAsia="Arial" w:hAnsi="Arial" w:cs="Arial"/>
                <w:b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02" w:type="dxa"/>
            <w:gridSpan w:val="2"/>
            <w:shd w:val="clear" w:color="auto" w:fill="D9D9D9" w:themeFill="background1" w:themeFillShade="D9"/>
          </w:tcPr>
          <w:p w:rsidR="00973DEE" w:rsidRPr="0033147D" w:rsidP="00FE3D5C">
            <w:pPr>
              <w:pStyle w:val="ESBodyText"/>
              <w:spacing w:after="0"/>
              <w:rPr>
                <w:rFonts w:ascii="Arial" w:eastAsia="Arial" w:hAnsi="Arial" w:cs="Arial"/>
                <w:b w:val="0"/>
                <w:color w:val="auto"/>
                <w:sz w:val="22"/>
                <w:lang w:val="en-AU"/>
              </w:rPr>
            </w:pPr>
            <w:r w:rsidRPr="0033147D">
              <w:rPr>
                <w:rStyle w:val="DefaultParagraphFont"/>
                <w:rFonts w:ascii="Arial" w:eastAsia="Arial" w:hAnsi="Arial" w:cs="Arial"/>
                <w:b w:val="0"/>
                <w:color w:val="auto"/>
                <w:sz w:val="22"/>
              </w:rPr>
              <w:t>Optimise the wellbeing of all students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C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ascii="Arial" w:eastAsia="Arial" w:hAnsi="Arial" w:cs="Arial"/>
                <w:sz w:val="22"/>
                <w:szCs w:val="24"/>
                <w:lang w:val="en-AU"/>
              </w:rPr>
              <w:t>KIS 2.a</w:t>
            </w:r>
          </w:p>
        </w:tc>
        <w:tc>
          <w:tcPr>
            <w:tcW w:w="11902" w:type="dxa"/>
            <w:gridSpan w:val="2"/>
            <w:shd w:val="clear" w:color="auto" w:fill="58BFBC"/>
            <w:noWrap w:val="0"/>
          </w:tcPr>
          <w:p w:rsidR="00973DEE" w:rsidRPr="0033147D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Embed a whole school multi-tiered student wellbeing model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  <w:noWrap w:val="0"/>
          </w:tcPr>
          <w:p w:rsidR="003E1FC6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staff understanding of the multi-system tiers of support in student wellbeing.</w:t>
              <w:br/>
              <w:t xml:space="preserve">Embed the Berry Street Education Model. </w:t>
              <w:br/>
              <w:t>Embed Respectful Relationships curriculum topics 7 and 8.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73784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  <w:noWrap w:val="0"/>
          </w:tcPr>
          <w:p w:rsidR="00737849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Staff demonstrate knowledge of tiered supports through consistent referral processes, planning for differentiated student support, and documentation in wellbeing records.</w:t>
              <w:br/>
              <w:t>PLC or staff meeting records show discussions about students at different support tiers and adjustments to interventions based on data.</w:t>
              <w:br/>
              <w:t>Lesson plans and classroom practices reflect Berry Street strategies (e.g., brain breaks, co-regulation strategies, trauma-informed practices).</w:t>
              <w:br/>
              <w:t>Classroom observations indicate staff using BSEM approaches to support engagement and self-regulation.</w:t>
              <w:br/>
              <w:t>Student engagement and wellbeing surveys show positive shifts in sense of belonging and classroom participation.</w:t>
              <w:br/>
              <w:t>Curriculum plans, teaching sequences, and learning resources show regular delivery of topics 7 and 8.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wellbeing leadership team will facilitate collaborative team meetings to discuss student cases and plan tiered interventions during team meeting time.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Leading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wellbeing leadership team will support teachers to incorporate BSEM strategies into daily lesson plans.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Leading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wellbeing leadership team will collect and share examples of best practice from classrooms using BSEM approaches.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Leading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wellbeing leadership team will support staff to plan for and schedule the delivery of topics 7 and 8 across relevant year levels.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Leading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wellbeing leadership team will plan for and deliver professional learning to support teachers’ confidence in delivering content in tops 7 and 8 in RRRR.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Leading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The wellbeing leadership team will engage in learning walks for morning circles and what went well routines school wide. 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Leading teacher(s)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162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ascii="Arial" w:eastAsia="Arial" w:hAnsi="Arial" w:cs="Arial"/>
                <w:sz w:val="22"/>
                <w:szCs w:val="24"/>
                <w:lang w:val="en-AU"/>
              </w:rPr>
              <w:t>KIS 2.b</w:t>
            </w:r>
          </w:p>
        </w:tc>
        <w:tc>
          <w:tcPr>
            <w:tcW w:w="11902" w:type="dxa"/>
            <w:gridSpan w:val="2"/>
            <w:shd w:val="clear" w:color="auto" w:fill="FFD162"/>
            <w:noWrap w:val="0"/>
          </w:tcPr>
          <w:p w:rsidR="00973DEE" w:rsidRPr="0033147D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Build staff capacity to implement responsive teaching for all students 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  <w:noWrap w:val="0"/>
          </w:tcPr>
          <w:p w:rsidR="003E1FC6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routines such as frequent formative assessment, checks for understanding, and targeted feedback to ensure teaching is continually adjusted to student learning needs.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73784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  <w:noWrap w:val="0"/>
          </w:tcPr>
          <w:p w:rsidR="00737849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Teachers are seen using formative assessment strategies, adjusting lessons in real time, and differentiating learning to meet student needs.</w:t>
              <w:br/>
              <w:t>Improvement in formative and summative assessment results, showing targeted learning progress and reduced gaps.</w:t>
              <w:br/>
              <w:t>Minutes or notes from planning meetings and PLCs showing analysis of student work, discussion of learning needs, and adjustments to teaching strategies.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leadership team will build staff capacity in how to plan for CFUs that check for understanding of the learning intention throughout the lesson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school staff will engage in network professional learning with Bronwyn Rirey Jones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Staff will undertake assessments for all students, including diagnostic and mandatory assessments, to enact the school's Multi-Tiered Systems of Support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Teacher(s)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162"/>
            <w:noWrap w:val="0"/>
          </w:tcPr>
          <w:p w:rsidR="00973DEE" w:rsidRPr="002F40EA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ascii="Arial" w:eastAsia="Arial" w:hAnsi="Arial" w:cs="Arial"/>
                <w:sz w:val="22"/>
                <w:szCs w:val="24"/>
                <w:lang w:val="en-AU"/>
              </w:rPr>
              <w:t>KIS 2.c</w:t>
            </w:r>
          </w:p>
        </w:tc>
        <w:tc>
          <w:tcPr>
            <w:tcW w:w="11902" w:type="dxa"/>
            <w:gridSpan w:val="2"/>
            <w:shd w:val="clear" w:color="auto" w:fill="FFD162"/>
            <w:noWrap w:val="0"/>
          </w:tcPr>
          <w:p w:rsidR="00973DEE" w:rsidRPr="0033147D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Enhance parent/carer partnerships to optimise student learning and wellbeing outcomes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3E1FC6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  <w:noWrap w:val="0"/>
          </w:tcPr>
          <w:p w:rsidR="003E1FC6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Investigate factors influencing student engagement and disengagement, and share findings with parents/carers to support learning at home and school.</w:t>
              <w:br/>
              <w:t>Improve systems and expectations for classroomIncrease prompts and guidance in newsletters to support parent/carer engagement in student learning and wellbeing initiatives. helpers to ensure meaningful participation in student learning experiences.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737849" w:rsidRPr="002F40EA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  <w:noWrap w:val="0"/>
          </w:tcPr>
          <w:p w:rsidR="00737849" w:rsidRPr="0033147D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Records of engagement monitoring show identified trends in student participation.</w:t>
              <w:br/>
              <w:t>Evidence of targeted communication with parents/carers regarding strategies to support learning and engagement at home.</w:t>
              <w:br/>
              <w:t>Increased and more consistent participation of parents/carers in classroom activities</w:t>
              <w:br/>
              <w:t>Feedback from staff and parents/carers indicates clarity of expectations and meaningful contribution to learning.</w:t>
              <w:br/>
              <w:t>Newsletters and school communications include clear prompts, guidance, or resources supporting parent/carer involvement in student learning and wellbeing.</w:t>
            </w:r>
          </w:p>
        </w:tc>
      </w:tr>
      <w:tr w:rsidTr="00400BA1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0634E" w:rsidRPr="002F40EA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wellbeing leadership team will develop strategies with staff to address attendance disengagement.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Leading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The wellbeing leadership team will collect and analyse student engagement data (attendance, participation, behaviour). Identify trends or areas of concern and communicate these with staff. </w:t>
              <w:br/>
              <w:br/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Leading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principal and leadership team will review and update systems for classroom helpers, including clear roles and expectations.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Team leaders and teaching staff will schedule and coordinate opportunities for parents/carers to actively participate in classroom activities.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Principal and team leaders will include targeted prompts and guidance in newsletters and other communications.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Teacher(s)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The wellbeing leadership team and teachers will share strategies and resources to support student learning and wellbeing at home.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</w:tr>
      <w:tr w:rsidTr="00F0634E">
        <w:tblPrEx>
          <w:tblW w:w="15021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9918" w:type="dxa"/>
            <w:gridSpan w:val="2"/>
            <w:noWrap w:val="0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The wellbeing leadership team will develop and implement a school-wide wellbeing survey to be administered once per term for students in order to collect data on student wellbeing, behaviour and participation. </w:t>
            </w:r>
          </w:p>
        </w:tc>
        <w:tc>
          <w:tcPr>
            <w:tcW w:w="5103" w:type="dxa"/>
          </w:tcPr>
          <w:p w:rsidR="00F0634E" w:rsidRPr="002F40EA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Leading teacher(s)</w:t>
            </w:r>
          </w:p>
        </w:tc>
      </w:tr>
    </w:tbl>
    <w:p w:rsidR="006307C3" w:rsidRPr="002F40EA" w:rsidP="006C7A56">
      <w:pPr>
        <w:pStyle w:val="ESBodyText"/>
        <w:rPr>
          <w:lang w:val="en-AU"/>
        </w:rPr>
      </w:pPr>
    </w:p>
    <w:p/>
    <w:p/>
    <w:sectPr w:rsidSect="00E36291">
      <w:headerReference w:type="even" r:id="rId15"/>
      <w:headerReference w:type="default" r:id="rId16"/>
      <w:footerReference w:type="default" r:id="rId17"/>
      <w:headerReference w:type="first" r:id="rId18"/>
      <w:pgSz w:w="16838" w:h="11906" w:orient="landscape" w:code="9"/>
      <w:pgMar w:top="1304" w:right="2036" w:bottom="1240" w:left="810" w:header="624" w:footer="532" w:gutter="0"/>
      <w:pgNumType w:start="2"/>
      <w:cols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 w:rsidP="002953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43995" w:rsidP="007B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 w:rsidRPr="003E29B5" w:rsidP="008766A4"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86360</wp:posOffset>
          </wp:positionV>
          <wp:extent cx="1980000" cy="590400"/>
          <wp:effectExtent l="0" t="0" r="1270" b="635"/>
          <wp:wrapNone/>
          <wp:docPr id="14" name="Picture 14" descr="Education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Education State logo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29B5" w:rsidR="00B329B8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Glen Iris Primary School (1148)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3995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103446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01B0" w:rsidP="005901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1312" filled="f" stroked="f">
              <o:lock v:ext="edit" shapetype="t"/>
              <v:textbox style="mso-fit-shape-to-text:t">
                <w:txbxContent>
                  <w:p w:rsidR="005901B0" w:rsidP="005901B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>
    <w:pPr>
      <w:pStyle w:val="Header"/>
    </w:pPr>
    <w:r w:rsidRPr="000C104E"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7838942</wp:posOffset>
          </wp:positionH>
          <wp:positionV relativeFrom="paragraph">
            <wp:posOffset>-331546</wp:posOffset>
          </wp:positionV>
          <wp:extent cx="1991003" cy="7430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01B0" w:rsidP="005901B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5901B0" w:rsidP="005901B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1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5408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995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336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0527E"/>
    <w:multiLevelType w:val="hybridMultilevel"/>
    <w:tmpl w:val="97505B86"/>
    <w:lvl w:ilvl="0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name"/>
  <w:autoFormatOverride/>
  <w:defaultTabStop w:val="720"/>
  <w:drawingGridHorizontalSpacing w:val="9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hAnsi="Arial" w:eastAsiaTheme="majorEastAsia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hAnsi="Arial" w:eastAsiaTheme="majorEastAsia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hAnsi="Arial" w:eastAsiaTheme="majorEastAsia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uiPriority w:val="99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3.xml" /><Relationship Id="rId18" Type="http://schemas.openxmlformats.org/officeDocument/2006/relationships/header" Target="header6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01E2A-48B7-4A50-B243-C9C7FE40A1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Reshma Karunakaran</cp:lastModifiedBy>
  <cp:revision>93</cp:revision>
  <dcterms:created xsi:type="dcterms:W3CDTF">2017-09-11T05:00:00Z</dcterms:created>
  <dcterms:modified xsi:type="dcterms:W3CDTF">2025-09-02T02:48:00Z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